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610.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трудового потенциала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«человеческий капитал», «трудовой потенциал».</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рынка труда в РФ и на международном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рынка труда РФ</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рынка труда РФ</w:t>
            </w:r>
          </w:p>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как основа развития рынка труда</w:t>
            </w:r>
          </w:p>
          <w:p>
            <w:pPr>
              <w:jc w:val="both"/>
              <w:spacing w:after="0" w:line="240" w:lineRule="auto"/>
              <w:rPr>
                <w:sz w:val="24"/>
                <w:szCs w:val="24"/>
              </w:rPr>
            </w:pPr>
            <w:r>
              <w:rPr>
                <w:rFonts w:ascii="Times New Roman" w:hAnsi="Times New Roman" w:cs="Times New Roman"/>
                <w:color w:val="#000000"/>
                <w:sz w:val="24"/>
                <w:szCs w:val="24"/>
              </w:rPr>
              <w:t> Особенности японской, американской (США) и шведской моделей рынка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ресурсов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перспективных трудовых ресурсов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r>
        <w:trPr>
          <w:trHeight w:hRule="exact" w:val="499.800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26"/>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32.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2024-2025_ФГОС3++2024_Бак-ЗФО-УП(ДОП)(24)_plx_Экономика труда</dc:title>
  <dc:creator>FastReport.NET</dc:creator>
</cp:coreProperties>
</file>